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ed2c8440e2d405faaa22074f3779fac47e9a"/>
    <w:p>
      <w:pPr>
        <w:pStyle w:val="Heading3"/>
      </w:pPr>
      <w:r>
        <w:t xml:space="preserve">Росгвардия обеспечила правопорядок на футбольном матче в Москве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bCs/>
          <w:b/>
        </w:rPr>
        <w:t xml:space="preserve">12.05.2025</w:t>
      </w:r>
    </w:p>
    <w:p>
      <w:pPr>
        <w:pStyle w:val="BodyText"/>
      </w:pPr>
      <w:r>
        <w:t xml:space="preserve">Правопорядок во время подготовки и проведения матча 28-го тура Российской Премьер-Лиги сезона-2024/2025 между столичными футбольными клубами «Спартак» и «Динамо»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матчей,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стадионам.</w:t>
      </w:r>
    </w:p>
    <w:p>
      <w:pPr>
        <w:pStyle w:val="BodyText"/>
      </w:pPr>
      <w:r>
        <w:t xml:space="preserve">Матч, который посетили более 20 тысяч зрителей, прошел без серьезных нарушений правопорядка. По итогам игры «Спартак» уступил «Динамо» со счетом 0:2.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http://krukovo.mos.ru/security-and-rule-of-law/rosgvardiya-stolitsy-informiruet/detail/12960911.html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60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60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2025-05-20T00:38:19Z</dcterms:created>
  <dcterms:modified xsi:type="dcterms:W3CDTF">2025-05-20T00:38:19Z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