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188182fac83c1519cb728fdc9c168f1e951a1"/>
    <w:p>
      <w:pPr>
        <w:pStyle w:val="Heading3"/>
      </w:pPr>
      <w:r>
        <w:t xml:space="preserve">Территория на Заводской улице будет освобождена от гаражей ГСК «Сокол»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13.09.2024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347358/66c5ce54797c3fa6bc7ea81ca60becc9/iblock/472/4724190cec2bc617da5b9802670297e2/Territoriya-na-Zavodskoy-ulitse-budet-osvobozhdena-ot-garazhey-GSK-_Sokol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п. 6.1.1 постановления Правительства Москвы от 9 марта 2011 года № 63-ПП «Об утверждении Положения о порядке осуществления денежной компенсации владельцам сносимых индивидуальных гаражей при освобождении территорий города Москвы» информируем о планируемом освобождении территории от гаражных боксов ГСК «Сокол» для реализации комплексного развития территории нежилой застройки города Москвы, расположенной в производственной зоне «Малино».</w:t>
      </w:r>
    </w:p>
    <w:p>
      <w:pPr>
        <w:pStyle w:val="BodyText"/>
      </w:pPr>
      <w:r>
        <w:t xml:space="preserve">В целях подготовки актуальных списков владельцев гаражей для заключения соглашения об осуществлении ООО «СЗ «ПРОКСИМА» денежной компенсации с 16.09.2024 до 18.10.2024 необходимо представить в управу района Крюково следующие документы:</w:t>
      </w:r>
    </w:p>
    <w:p>
      <w:pPr>
        <w:numPr>
          <w:ilvl w:val="0"/>
          <w:numId w:val="1001"/>
        </w:numPr>
        <w:pStyle w:val="Compact"/>
      </w:pPr>
      <w:r>
        <w:t xml:space="preserve">подтверждающие членство в ГСК «Сокол»;</w:t>
      </w:r>
    </w:p>
    <w:p>
      <w:pPr>
        <w:numPr>
          <w:ilvl w:val="0"/>
          <w:numId w:val="1001"/>
        </w:numPr>
        <w:pStyle w:val="Compact"/>
      </w:pPr>
      <w:r>
        <w:t xml:space="preserve">копию паспорта (первый лист, лист с регистрацией).</w:t>
      </w:r>
    </w:p>
    <w:p>
      <w:pPr>
        <w:pStyle w:val="FirstParagraph"/>
      </w:pPr>
      <w:r>
        <w:t xml:space="preserve">Адрес управы района Крюково: Москва, Зеленоград, корпус 1444, каб. 34, тел.: 8(499)729-91-71.</w:t>
      </w:r>
    </w:p>
    <w:p>
      <w:pPr>
        <w:pStyle w:val="BodyText"/>
      </w:pPr>
      <w:r>
        <w:t xml:space="preserve">Режим работы:</w:t>
      </w:r>
    </w:p>
    <w:p>
      <w:pPr>
        <w:numPr>
          <w:ilvl w:val="0"/>
          <w:numId w:val="1002"/>
        </w:numPr>
        <w:pStyle w:val="Compact"/>
      </w:pPr>
      <w:r>
        <w:t xml:space="preserve">понедельник-четверг: с 8-00 до 17-00;</w:t>
      </w:r>
    </w:p>
    <w:p>
      <w:pPr>
        <w:numPr>
          <w:ilvl w:val="0"/>
          <w:numId w:val="1002"/>
        </w:numPr>
        <w:pStyle w:val="Compact"/>
      </w:pPr>
      <w:r>
        <w:t xml:space="preserve">пятница: с 8-00 до 15-45;</w:t>
      </w:r>
    </w:p>
    <w:p>
      <w:pPr>
        <w:numPr>
          <w:ilvl w:val="0"/>
          <w:numId w:val="1002"/>
        </w:numPr>
        <w:pStyle w:val="Compact"/>
      </w:pPr>
      <w:r>
        <w:t xml:space="preserve">перерыв на обед: с 12-00 до 12-45;</w:t>
      </w:r>
    </w:p>
    <w:p>
      <w:pPr>
        <w:numPr>
          <w:ilvl w:val="0"/>
          <w:numId w:val="1002"/>
        </w:numPr>
        <w:pStyle w:val="Compact"/>
      </w:pPr>
      <w:r>
        <w:t xml:space="preserve">суббота и воскресенье – выходные дни.</w:t>
      </w:r>
    </w:p>
    <w:p>
      <w:pPr>
        <w:pStyle w:val="FirstParagraph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http://krukovo.mos.ru/presscenter/news/detail/12565769.html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56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56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2025-07-26T14:29:40Z</dcterms:created>
  <dcterms:modified xsi:type="dcterms:W3CDTF">2025-07-26T14:29:40Z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