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57b9fe664fe578c55af012646b88ecdfd7329"/>
    <w:p>
      <w:pPr>
        <w:pStyle w:val="Heading3"/>
      </w:pPr>
      <w:r>
        <w:t xml:space="preserve">Распоряжение мэра Москвы №259-РМ от 19.04.2018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t xml:space="preserve">Об утверждении плана противодействия коррупции в городе Москве на 2018 -2019  годы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http://krukovo.mos.ru/anti-corruption/plans-papers-reports-reviews-static-information-on-combating-corruption/detail/7344565.html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plans-papers-reports-reviews-static-information-on-combating-corruption/detail/7344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plans-papers-reports-reviews-static-information-on-combating-corruption/detail/7344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2025-03-20T22:26:02Z</dcterms:created>
  <dcterms:modified xsi:type="dcterms:W3CDTF">2025-03-20T22:26:02Z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