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f5744fbe6e0a1f353daf13357b9e19dadd8349"/>
    <w:p>
      <w:pPr>
        <w:pStyle w:val="Heading3"/>
      </w:pPr>
      <w:r>
        <w:t xml:space="preserve">Административная ответственность юридических лиц за совершение правонарушений коррупционной направленности</w:t>
      </w:r>
    </w:p>
    <w:p>
      <w:pPr>
        <w:pStyle w:val="FirstParagraph"/>
      </w:pPr>
      <w:r>
        <w:t xml:space="preserve">08.02.2021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http://krukovo.mos.ru/anti-corruption/methodical-materials/detail/9698567.html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Крюково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ukovo.mos.ru" TargetMode="External" /><Relationship Type="http://schemas.openxmlformats.org/officeDocument/2006/relationships/hyperlink" Id="rId20" Target="http://krukovo.mos.ru/anti-corruption/methodical-materials/detail/96985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ukovo.mos.ru" TargetMode="External" /><Relationship Type="http://schemas.openxmlformats.org/officeDocument/2006/relationships/hyperlink" Id="rId20" Target="http://krukovo.mos.ru/anti-corruption/methodical-materials/detail/96985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2025-02-23T08:54:07Z</dcterms:created>
  <dcterms:modified xsi:type="dcterms:W3CDTF">2025-02-23T08:54:07Z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