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b2043b7a125e28605d9ee24612e63a6998d7c"/>
    <w:p>
      <w:pPr>
        <w:pStyle w:val="Heading3"/>
      </w:pPr>
      <w:r>
        <w:t xml:space="preserve">Управа района Крюково города Москвы Сведения о доходах, расходах, об имуществе и обязательствах имущественного характера государственных гражданских служащих города Москвы и членов их семей за период с 1 января по 31 декабря 2020 года</w:t>
      </w:r>
    </w:p>
    <w:p>
      <w:pPr>
        <w:pStyle w:val="FirstParagraph"/>
      </w:pPr>
      <w:r>
        <w:t xml:space="preserve">25.05.2021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http://krukovo.mos.ru/anti-corruption/information-on-income-expenses-about-property-and-obligations-of-property-character/detail/9975689.html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anti-corruption/information-on-income-expenses-about-property-and-obligations-of-property-character/detail/99756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anti-corruption/information-on-income-expenses-about-property-and-obligations-of-property-character/detail/99756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2025-02-14T09:07:35Z</dcterms:created>
  <dcterms:modified xsi:type="dcterms:W3CDTF">2025-02-14T09:07:35Z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