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9b178b68c9f32d793dbd6302406f2cefcd798"/>
    <w:p>
      <w:pPr>
        <w:pStyle w:val="Heading3"/>
      </w:pPr>
      <w:r>
        <w:t xml:space="preserve">_Сведения о доходах, об имуществе и обязательствах имущественного характера государственных гражданских служащих управы района Крюково города Москвы за 2012 г..</w:t>
      </w:r>
    </w:p>
    <w:p>
      <w:pPr>
        <w:pStyle w:val="FirstParagraph"/>
      </w:pPr>
      <w:r>
        <w:t xml:space="preserve">22.07.2014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http://krukovo.mos.ru/anti-corruption/information-on-income-expenses-about-property-and-obligations-of-property-character/detail/1136620.html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information-on-income-expenses-about-property-and-obligations-of-property-character/detail/1136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information-on-income-expenses-about-property-and-obligations-of-property-character/detail/1136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2025-02-17T08:48:10Z</dcterms:created>
  <dcterms:modified xsi:type="dcterms:W3CDTF">2025-02-17T08:48:10Z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